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  <w:r w:rsidRPr="00E34DB6">
        <w:rPr>
          <w:rStyle w:val="2"/>
          <w:rFonts w:eastAsia="Arial Unicode MS"/>
          <w:sz w:val="24"/>
          <w:szCs w:val="24"/>
        </w:rPr>
        <w:t>ПРОЕКТ</w:t>
      </w:r>
    </w:p>
    <w:p w:rsidR="00E34DB6" w:rsidRPr="00E34DB6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861028">
        <w:rPr>
          <w:rFonts w:ascii="Arial" w:hAnsi="Arial" w:cs="Arial"/>
          <w:b/>
          <w:sz w:val="28"/>
          <w:szCs w:val="28"/>
        </w:rPr>
        <w:t>Ягоднинского</w:t>
      </w:r>
      <w:r w:rsidRPr="00C84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E34DB6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00.00.</w:t>
      </w:r>
      <w:r w:rsidR="00C840D9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2 </w:t>
      </w:r>
      <w:r w:rsidR="00C840D9">
        <w:rPr>
          <w:rFonts w:ascii="Arial" w:hAnsi="Arial" w:cs="Arial"/>
        </w:rPr>
        <w:t xml:space="preserve">года                          </w:t>
      </w:r>
      <w:r>
        <w:rPr>
          <w:rFonts w:ascii="Arial" w:hAnsi="Arial" w:cs="Arial"/>
        </w:rPr>
        <w:t xml:space="preserve">        </w:t>
      </w:r>
      <w:r w:rsidR="00C840D9" w:rsidRPr="00C840D9">
        <w:rPr>
          <w:rFonts w:ascii="Arial" w:hAnsi="Arial" w:cs="Arial"/>
          <w:sz w:val="20"/>
          <w:szCs w:val="20"/>
        </w:rPr>
        <w:t xml:space="preserve">п. </w:t>
      </w:r>
      <w:r w:rsidR="00861028">
        <w:rPr>
          <w:rFonts w:ascii="Arial" w:hAnsi="Arial" w:cs="Arial"/>
          <w:sz w:val="20"/>
          <w:szCs w:val="20"/>
        </w:rPr>
        <w:t>Ягодное</w:t>
      </w:r>
      <w:r w:rsidR="00C840D9" w:rsidRPr="00C840D9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025D38">
        <w:rPr>
          <w:rFonts w:ascii="Arial" w:hAnsi="Arial" w:cs="Arial"/>
          <w:sz w:val="20"/>
          <w:szCs w:val="20"/>
        </w:rPr>
        <w:t xml:space="preserve">         </w:t>
      </w:r>
      <w:r w:rsidR="00C840D9">
        <w:rPr>
          <w:rFonts w:ascii="Arial" w:hAnsi="Arial" w:cs="Arial"/>
          <w:sz w:val="20"/>
          <w:szCs w:val="20"/>
        </w:rPr>
        <w:t xml:space="preserve"> </w:t>
      </w:r>
      <w:r w:rsidR="00C840D9" w:rsidRPr="00C840D9">
        <w:rPr>
          <w:rFonts w:ascii="Arial" w:hAnsi="Arial" w:cs="Arial"/>
          <w:sz w:val="20"/>
          <w:szCs w:val="20"/>
        </w:rPr>
        <w:t xml:space="preserve"> </w:t>
      </w:r>
      <w:r w:rsidR="00C840D9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E34DB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2023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 w:rsidRPr="00861028">
        <w:rPr>
          <w:rFonts w:ascii="Arial" w:hAnsi="Arial" w:cs="Arial"/>
          <w:sz w:val="24"/>
          <w:szCs w:val="24"/>
        </w:rPr>
        <w:t>Ягоднинского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  <w:r w:rsidR="00CA0195">
        <w:rPr>
          <w:rFonts w:ascii="Arial" w:hAnsi="Arial" w:cs="Arial"/>
        </w:rPr>
        <w:t xml:space="preserve"> </w:t>
      </w:r>
      <w:r w:rsidR="006E76D6"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E34D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6102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E34DB6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</w:t>
      </w:r>
      <w:r w:rsidR="00861028">
        <w:rPr>
          <w:rFonts w:ascii="Arial" w:hAnsi="Arial" w:cs="Arial"/>
          <w:bCs/>
        </w:rPr>
        <w:t>Ягоднинского</w:t>
      </w: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E34DB6">
        <w:rPr>
          <w:rFonts w:ascii="Arial" w:hAnsi="Arial" w:cs="Arial"/>
          <w:bCs/>
        </w:rPr>
        <w:t xml:space="preserve">            </w:t>
      </w:r>
      <w:r w:rsidR="00861028">
        <w:rPr>
          <w:rFonts w:ascii="Arial" w:hAnsi="Arial" w:cs="Arial"/>
          <w:bCs/>
        </w:rPr>
        <w:t>Е.Б.Врублевская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25D38" w:rsidRDefault="0086102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 w:rsidRPr="00861028">
        <w:rPr>
          <w:rFonts w:ascii="Arial" w:hAnsi="Arial" w:cs="Arial"/>
          <w:sz w:val="24"/>
          <w:szCs w:val="24"/>
        </w:rPr>
        <w:t>Ягоднинского</w:t>
      </w:r>
      <w:r w:rsidR="00025D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34DB6">
        <w:rPr>
          <w:rFonts w:ascii="Arial" w:hAnsi="Arial" w:cs="Arial"/>
          <w:sz w:val="24"/>
          <w:szCs w:val="24"/>
        </w:rPr>
        <w:t>00.00.2022</w:t>
      </w:r>
      <w:r>
        <w:rPr>
          <w:rFonts w:ascii="Arial" w:hAnsi="Arial" w:cs="Arial"/>
          <w:sz w:val="24"/>
          <w:szCs w:val="24"/>
        </w:rPr>
        <w:t xml:space="preserve"> № </w:t>
      </w:r>
      <w:r w:rsidR="00E34DB6">
        <w:rPr>
          <w:rFonts w:ascii="Arial" w:hAnsi="Arial" w:cs="Arial"/>
          <w:sz w:val="24"/>
          <w:szCs w:val="24"/>
        </w:rPr>
        <w:t>00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392AD8" w:rsidRDefault="00B01AB2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sz w:val="24"/>
          <w:szCs w:val="24"/>
        </w:rPr>
        <w:t xml:space="preserve">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8610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30.11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E34DB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bookmarkStart w:id="0" w:name="_GoBack"/>
      <w:bookmarkEnd w:id="0"/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</w:rPr>
              <w:t>Ягоднинское</w:t>
            </w:r>
            <w:r w:rsidR="00392AD8" w:rsidRPr="00392AD8">
              <w:rPr>
                <w:rFonts w:ascii="Arial" w:hAnsi="Arial" w:cs="Arial"/>
              </w:rPr>
              <w:t xml:space="preserve">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E34DB6">
        <w:rPr>
          <w:rFonts w:ascii="Arial" w:hAnsi="Arial" w:cs="Arial"/>
          <w:color w:val="000000"/>
        </w:rPr>
        <w:t>3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861028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2B" w:rsidRDefault="00AD202B" w:rsidP="00786787">
      <w:r>
        <w:separator/>
      </w:r>
    </w:p>
  </w:endnote>
  <w:endnote w:type="continuationSeparator" w:id="0">
    <w:p w:rsidR="00AD202B" w:rsidRDefault="00AD202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2B" w:rsidRDefault="00AD202B" w:rsidP="00786787">
      <w:r>
        <w:separator/>
      </w:r>
    </w:p>
  </w:footnote>
  <w:footnote w:type="continuationSeparator" w:id="0">
    <w:p w:rsidR="00AD202B" w:rsidRDefault="00AD202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97375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861028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102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D202B"/>
    <w:rsid w:val="00AE1ACD"/>
    <w:rsid w:val="00AF5571"/>
    <w:rsid w:val="00AF72C9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DD91-47BF-4318-A268-C3FE282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9CB9-505E-4AF7-B3EB-EAFDDDD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16</cp:revision>
  <cp:lastPrinted>2021-12-20T09:26:00Z</cp:lastPrinted>
  <dcterms:created xsi:type="dcterms:W3CDTF">2021-12-09T04:38:00Z</dcterms:created>
  <dcterms:modified xsi:type="dcterms:W3CDTF">2022-10-11T09:52:00Z</dcterms:modified>
</cp:coreProperties>
</file>